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Calibri" w:hAnsi="Calibri"/>
          <w:b/>
          <w:color w:val="1A365D"/>
          <w:sz w:val="44"/>
        </w:rPr>
        <w:t>Safeguarding Developing Minds in the Algorithmic Attention Economy: A Legislative &amp; Regulatory Blueprint for Child and Adolescent Online Safety</w:t>
      </w:r>
    </w:p>
    <w:p>
      <w:r>
        <w:rPr>
          <w:b/>
          <w:color w:val="4A5568"/>
          <w:sz w:val="20"/>
        </w:rPr>
        <w:t>Policy Whitepaper, Model Legislative Blueprint, and Regulatory Guidance</w:t>
        <w:br/>
      </w:r>
      <w:r>
        <w:rPr>
          <w:i/>
          <w:color w:val="718096"/>
          <w:sz w:val="19"/>
        </w:rPr>
        <w:t>Target Audience: Congressional Committees, Parliamentary Inquiries, Regulatory Commissioners, Policy Directors, Legal Counsel</w:t>
        <w:br/>
        <w:t>Date of Issuance: September 2026</w:t>
      </w:r>
    </w:p>
    <w:tbl>
      <w:tblPr>
        <w:tblW w:type="auto" w:w="0"/>
        <w:jc w:val="center"/>
        <w:tblLook w:firstColumn="1" w:firstRow="1" w:lastColumn="0" w:lastRow="0" w:noHBand="0" w:noVBand="1" w:val="04A0"/>
      </w:tblPr>
      <w:tblGrid>
        <w:gridCol w:w="9360"/>
      </w:tblGrid>
      <w:tr>
        <w:tc>
          <w:tcPr>
            <w:tcW w:type="dxa" w:w="9360"/>
            <w:shd w:fill="EBF8FF"/>
            <w:tcMar>
              <w:top w:w="120" w:type="dxa"/>
              <w:bottom w:w="120" w:type="dxa"/>
              <w:left w:w="160" w:type="dxa"/>
              <w:right w:w="160" w:type="dxa"/>
            </w:tcMar>
            <w:tcBorders>
              <w:top w:val="none"/>
              <w:left w:val="single" w:sz="24" w:space="0" w:color="2B6CB0"/>
              <w:bottom w:val="none"/>
              <w:right w:val="none"/>
            </w:tcBorders>
          </w:tcPr>
          <w:p>
            <w:pPr>
              <w:spacing w:before="40" w:after="40"/>
            </w:pPr>
            <w:r>
              <w:rPr>
                <w:b/>
                <w:color w:val="1A365D"/>
                <w:sz w:val="20"/>
              </w:rPr>
              <w:t xml:space="preserve">[EXECUTIVE BRIEFING] </w:t>
            </w:r>
            <w:r>
              <w:rPr>
                <w:i/>
                <w:sz w:val="20"/>
              </w:rPr>
              <w:t>This policy whitepaper provides lawmakers and regulators with an actionable statutory framework to correct the attention economy market failure. It establishes an enforceable Duty of Care, outlaws addictive interface mechanisms for minors, bans commercial behavioral profiling, and implements privacy-preserving cryptographic age verification (Zero-Knowledge Proofs).</w:t>
            </w:r>
          </w:p>
        </w:tc>
      </w:tr>
    </w:tbl>
    <w:p>
      <w:pPr>
        <w:spacing w:after="80"/>
      </w:pPr>
    </w:p>
    <w:p>
      <w:pPr>
        <w:keepNext/>
        <w:spacing w:before="320" w:after="120"/>
      </w:pPr>
      <w:r>
        <w:rPr>
          <w:rFonts w:ascii="Calibri" w:hAnsi="Calibri"/>
          <w:b/>
          <w:color w:val="1A365D"/>
          <w:sz w:val="28"/>
        </w:rPr>
        <w:t>Executive Summary: Statement of Legislative Urgency</w:t>
      </w:r>
    </w:p>
    <w:p>
      <w:r>
        <w:t>Modern democratic societies face a compounding, generational public health crisis rooted in an acute market failure: commercial technology platforms operate within an attention economy that systematically monetizes the engagement of children and adolescents (ages 0–18). By deploying hyper-persuasive, algorithmically engineered behavioral architectures—variable intermittent rewards, infinite scroll, auto-play, and personalized predictive profiling—platforms maximize 'time-on-device' while externalizing catastrophic somatic, psychological, and educational costs onto families, schools, pediatric healthcare systems, and public treasuries.</w:t>
      </w:r>
    </w:p>
    <w:p>
      <w:r>
        <w:t>For over a quarter-century, public policy has relied on an outdated 'Notice-and-Consent' framework (COPPA 1998), which imposes the impossible burden of policing algorithms onto parents and children while incentivizing platforms to claim ignorance of minor users. Self-regulation has failed. The fiduciary mandate of publicly traded technology firms to maximize engagement stands in irreconcilable conflict with child development. This whitepaper establishes an affirmative model statutory act regulating commercial conduct and product architecture.</w:t>
      </w:r>
    </w:p>
    <w:p>
      <w:pPr>
        <w:keepNext/>
        <w:spacing w:before="320" w:after="120"/>
      </w:pPr>
      <w:r>
        <w:rPr>
          <w:rFonts w:ascii="Calibri" w:hAnsi="Calibri"/>
          <w:b/>
          <w:color w:val="1A365D"/>
          <w:sz w:val="28"/>
        </w:rPr>
        <w:t>1. The Socio-Economic &amp; Public Health Market Failure</w:t>
      </w:r>
    </w:p>
    <w:p>
      <w:r>
        <w:t>The private economic transactions between platform operators and commercial advertisers externalize billions in public harms:</w:t>
        <w:br/>
        <w:t>• Healthcare Burdens: Pediatric ER visits and inpatient hospitalizations for adolescent self-harm have doubled post-2010 across OECD nations, exhausting public pediatric mental health budgets.</w:t>
        <w:br/>
        <w:t>• Educational Disruption: School districts spend millions annually on student digital distraction management, disciplinary interventions, and academic remediation.</w:t>
        <w:br/>
        <w:t>• Human Capital Degradation: OECD PISA international assessments document 20- to 30-point score declines in mathematics and reading among heavily distracted students—equivalent to an entire year of lost learning.</w:t>
      </w:r>
    </w:p>
    <w:p>
      <w:pPr>
        <w:keepNext/>
        <w:spacing w:before="320" w:after="120"/>
      </w:pPr>
      <w:r>
        <w:rPr>
          <w:rFonts w:ascii="Calibri" w:hAnsi="Calibri"/>
          <w:b/>
          <w:color w:val="1A365D"/>
          <w:sz w:val="28"/>
        </w:rPr>
        <w:t>2. Neurobiology for Lawmakers: Why Self-Regulation Fails</w:t>
      </w:r>
    </w:p>
    <w:p>
      <w:r>
        <w:t>Adolescent vulnerability to digital platforms is biological. The human brain matures asynchronously:</w:t>
        <w:br/>
        <w:t>• The Subcortical Socioemotional System (ventral striatum / nucleus accumbens) matures early in puberty, driving hypersensitivity to social approval and peer status between ages 11 and 16.</w:t>
        <w:br/>
        <w:t>• The Prefrontal Cortex (PFC), governing executive impulse control and risk assessment, matures slowly into the mid-twenties.</w:t>
        <w:br/>
        <w:t>Expecting children to exercise self-regulation against software engineered by behavioral scientists to trigger dopaminergic cravings is untenable. The law must place the duty of safety upon the manufacturer of the software environment.</w:t>
      </w:r>
    </w:p>
    <w:p>
      <w:pPr>
        <w:keepNext/>
        <w:spacing w:before="320" w:after="120"/>
      </w:pPr>
      <w:r>
        <w:rPr>
          <w:rFonts w:ascii="Calibri" w:hAnsi="Calibri"/>
          <w:b/>
          <w:color w:val="1A365D"/>
          <w:sz w:val="28"/>
        </w:rPr>
        <w:t>3. Comparative Analysis of Global Statutory Regimes</w:t>
      </w:r>
    </w:p>
    <w:p>
      <w:r>
        <w:t>• United States: COPPA’s 13-year threshold and 'actual knowledge' loophole created a regulatory void for adolescents (13–17). The Kids Online Safety Act (KOSA) establishes a necessary statutory Duty of Care.</w:t>
        <w:br/>
        <w:t>• European Union: The Digital Services Act (DSA, Article 28) explicitly prohibits profiling-based targeted advertising to minors and bans dark patterns, with fines up to 6% of global turnover.</w:t>
        <w:br/>
        <w:t>• United Kingdom: The Online Safety Act 2023 grants regulator Ofcom powers to enforce duties of care, mandate age assurance, and impose fines up to £18 million or 10% of global annual turnover, alongside executive criminal liability.</w:t>
        <w:br/>
        <w:t>• Australia: Online Safety Act 2021 provides binding 24-hr takedowns; landmark 2024 legislation mandates a statutory ban on social media accounts under age 16 with AU$50M penalties.</w:t>
      </w:r>
    </w:p>
    <w:p>
      <w:pPr>
        <w:keepNext/>
        <w:spacing w:before="320" w:after="120"/>
      </w:pPr>
      <w:r>
        <w:rPr>
          <w:rFonts w:ascii="Calibri" w:hAnsi="Calibri"/>
          <w:b/>
          <w:color w:val="1A365D"/>
          <w:sz w:val="28"/>
        </w:rPr>
        <w:t>4. The Age Verification Trilemma &amp; The Cryptographic Solution</w:t>
      </w:r>
    </w:p>
    <w:p>
      <w:r>
        <w:t>Industry lobbyists claim age verification infringes upon adult privacy. This whitepaper resolves the 'Age Verification Trilemma' (balancing Child Safety, Adult Anonymity, and Free Speech) via Decentralized Zero-Knowledge Proofs (ZKPs) and OS Tokenization:</w:t>
        <w:br/>
        <w:t>1. Verification occurs once at the operating system / device level (e.g., Apple iOS, Google Android).</w:t>
        <w:br/>
        <w:t>2. When accessing an app, the OS transmits an encrypted cryptographic boolean token (e.g., isMinor = TRUE) via Zero-Knowledge Proofs.</w:t>
        <w:br/>
        <w:t>3. Zero identity documents, biometric data, or browsing records are stored on commercial platform servers.</w:t>
      </w:r>
    </w:p>
    <w:p>
      <w:pPr>
        <w:keepNext/>
        <w:spacing w:before="320" w:after="120"/>
      </w:pPr>
      <w:r>
        <w:rPr>
          <w:rFonts w:ascii="Calibri" w:hAnsi="Calibri"/>
          <w:b/>
          <w:color w:val="1A365D"/>
          <w:sz w:val="28"/>
        </w:rPr>
        <w:t>5. The Model Legislative Act: Ready-to-Draft Statutory Clauses</w:t>
      </w:r>
    </w:p>
    <w:tbl>
      <w:tblPr>
        <w:tblW w:type="auto" w:w="0"/>
        <w:jc w:val="center"/>
        <w:tblLook w:firstColumn="1" w:firstRow="1" w:lastColumn="0" w:lastRow="0" w:noHBand="0" w:noVBand="1" w:val="04A0"/>
      </w:tblPr>
      <w:tblGrid>
        <w:gridCol w:w="9360"/>
      </w:tblGrid>
      <w:tr>
        <w:tc>
          <w:tcPr>
            <w:tcW w:type="dxa" w:w="9360"/>
            <w:shd w:fill="F7FAFC"/>
            <w:tcMar>
              <w:top w:w="120" w:type="dxa"/>
              <w:bottom w:w="120" w:type="dxa"/>
              <w:left w:w="160" w:type="dxa"/>
              <w:right w:w="160" w:type="dxa"/>
            </w:tcMar>
            <w:tcBorders>
              <w:top w:val="single" w:sz="6" w:space="0" w:color="CBD5E0"/>
              <w:left w:val="single" w:sz="24" w:space="0" w:color="1A365D"/>
              <w:bottom w:val="single" w:sz="6" w:space="0" w:color="CBD5E0"/>
              <w:right w:val="single" w:sz="6" w:space="0" w:color="CBD5E0"/>
            </w:tcBorders>
          </w:tcPr>
          <w:p>
            <w:pPr>
              <w:spacing w:before="40" w:after="40"/>
            </w:pPr>
            <w:r>
              <w:rPr>
                <w:b/>
                <w:color w:val="1A365D"/>
                <w:sz w:val="21"/>
              </w:rPr>
              <w:t>DRAFT STATUTORY LANGUAGE: TITLE I — AFFIRMATIVE DUTY OF CARE IN PRODUCT DESIGN</w:t>
              <w:br/>
            </w:r>
            <w:r>
              <w:rPr>
                <w:rFonts w:ascii="Courier New" w:hAnsi="Courier New"/>
                <w:sz w:val="20"/>
              </w:rPr>
              <w:t>Section 101. Standard of Care. A covered platform shall exercise reasonable care in the design, algorithmic architecture, and operation of any online service, product, or feature to prevent and mitigate reasonably foreseeable developmental, physical, and psychological harms to minors.</w:t>
              <w:br/>
              <w:t>Section 102. Enumerated Harms. Foreseeable harms include: (1) content facilitating suicide, self-harm, and eating disorders; (2) sexual exploitation and predatory grooming; (3) cyberbullying and relational harassment; and (4) compulsive behavioral dependence induced by persuasive design mechanics.</w:t>
            </w:r>
          </w:p>
        </w:tc>
      </w:tr>
    </w:tbl>
    <w:p>
      <w:pPr>
        <w:spacing w:after="80"/>
      </w:pPr>
    </w:p>
    <w:tbl>
      <w:tblPr>
        <w:tblW w:type="auto" w:w="0"/>
        <w:jc w:val="center"/>
        <w:tblLook w:firstColumn="1" w:firstRow="1" w:lastColumn="0" w:lastRow="0" w:noHBand="0" w:noVBand="1" w:val="04A0"/>
      </w:tblPr>
      <w:tblGrid>
        <w:gridCol w:w="9360"/>
      </w:tblGrid>
      <w:tr>
        <w:tc>
          <w:tcPr>
            <w:tcW w:type="dxa" w:w="9360"/>
            <w:shd w:fill="F7FAFC"/>
            <w:tcMar>
              <w:top w:w="120" w:type="dxa"/>
              <w:bottom w:w="120" w:type="dxa"/>
              <w:left w:w="160" w:type="dxa"/>
              <w:right w:w="160" w:type="dxa"/>
            </w:tcMar>
            <w:tcBorders>
              <w:top w:val="single" w:sz="6" w:space="0" w:color="CBD5E0"/>
              <w:left w:val="single" w:sz="24" w:space="0" w:color="1A365D"/>
              <w:bottom w:val="single" w:sz="6" w:space="0" w:color="CBD5E0"/>
              <w:right w:val="single" w:sz="6" w:space="0" w:color="CBD5E0"/>
            </w:tcBorders>
          </w:tcPr>
          <w:p>
            <w:pPr>
              <w:spacing w:before="40" w:after="40"/>
            </w:pPr>
            <w:r>
              <w:rPr>
                <w:b/>
                <w:color w:val="1A365D"/>
                <w:sz w:val="21"/>
              </w:rPr>
              <w:t>DRAFT STATUTORY LANGUAGE: TITLE II — PROHIBITION OF ADDICTIVE &amp; EXPLOITATIVE INTERFACE ARCHITECTURES</w:t>
              <w:br/>
            </w:r>
            <w:r>
              <w:rPr>
                <w:rFonts w:ascii="Courier New" w:hAnsi="Courier New"/>
                <w:sz w:val="20"/>
              </w:rPr>
              <w:t>Section 201. Banned Interface Mechanics. It shall be unlawful for any covered platform to employ the following features on minor accounts:</w:t>
              <w:br/>
              <w:t>(a) Infinite Scroll: Continuous, unbounded loading of content without discrete pagination or stopping cues.</w:t>
              <w:br/>
              <w:t>(b) Algorithmic Auto-Play: Automated initiation of video, audio, or interactive media without affirmative user click.</w:t>
              <w:br/>
              <w:t>(c) Variable Intermittent Refresh: Pull-to-refresh mechanics engineered to generate variable notification cadences.</w:t>
              <w:br/>
              <w:t>(d) Nocturnal Push Notifications: Transmission of non-emergency push notifications between 9:00 PM and 7:00 AM local time.</w:t>
              <w:br/>
              <w:t>(e) Public Vanity Metrics: Publicly displaying quantified metrics of social approval (likes, view counts, follower numbers).</w:t>
            </w:r>
          </w:p>
        </w:tc>
      </w:tr>
    </w:tbl>
    <w:p>
      <w:pPr>
        <w:spacing w:after="80"/>
      </w:pPr>
    </w:p>
    <w:tbl>
      <w:tblPr>
        <w:tblW w:type="auto" w:w="0"/>
        <w:jc w:val="center"/>
        <w:tblLook w:firstColumn="1" w:firstRow="1" w:lastColumn="0" w:lastRow="0" w:noHBand="0" w:noVBand="1" w:val="04A0"/>
      </w:tblPr>
      <w:tblGrid>
        <w:gridCol w:w="9360"/>
      </w:tblGrid>
      <w:tr>
        <w:tc>
          <w:tcPr>
            <w:tcW w:type="dxa" w:w="9360"/>
            <w:shd w:fill="F7FAFC"/>
            <w:tcMar>
              <w:top w:w="120" w:type="dxa"/>
              <w:bottom w:w="120" w:type="dxa"/>
              <w:left w:w="160" w:type="dxa"/>
              <w:right w:w="160" w:type="dxa"/>
            </w:tcMar>
            <w:tcBorders>
              <w:top w:val="single" w:sz="6" w:space="0" w:color="CBD5E0"/>
              <w:left w:val="single" w:sz="24" w:space="0" w:color="1A365D"/>
              <w:bottom w:val="single" w:sz="6" w:space="0" w:color="CBD5E0"/>
              <w:right w:val="single" w:sz="6" w:space="0" w:color="CBD5E0"/>
            </w:tcBorders>
          </w:tcPr>
          <w:p>
            <w:pPr>
              <w:spacing w:before="40" w:after="40"/>
            </w:pPr>
            <w:r>
              <w:rPr>
                <w:b/>
                <w:color w:val="1A365D"/>
                <w:sz w:val="21"/>
              </w:rPr>
              <w:t>DRAFT STATUTORY LANGUAGE: TITLE III — PROHIBITION OF BEHAVIORAL PROFILING &amp; TARGETED ADVERTISING</w:t>
              <w:br/>
            </w:r>
            <w:r>
              <w:rPr>
                <w:rFonts w:ascii="Courier New" w:hAnsi="Courier New"/>
                <w:sz w:val="20"/>
              </w:rPr>
              <w:t>Section 301. Prohibition of Behavioral Tracking. No covered platform shall collect, retain, synthesize, or profile behavioral telemetry, geolocation, browsing history, or keystroke dynamics of any minor for commercial advertising or marketing.</w:t>
              <w:br/>
              <w:t>Section 302. Contextual Advertising Exemption. Platforms may display non-personalized, purely contextual advertisements directly related to the search query or content actively viewed without tracking identity across sessions.</w:t>
            </w:r>
          </w:p>
        </w:tc>
      </w:tr>
    </w:tbl>
    <w:p>
      <w:pPr>
        <w:spacing w:after="80"/>
      </w:pPr>
    </w:p>
    <w:tbl>
      <w:tblPr>
        <w:tblW w:type="auto" w:w="0"/>
        <w:jc w:val="center"/>
        <w:tblLook w:firstColumn="1" w:firstRow="1" w:lastColumn="0" w:lastRow="0" w:noHBand="0" w:noVBand="1" w:val="04A0"/>
      </w:tblPr>
      <w:tblGrid>
        <w:gridCol w:w="9360"/>
      </w:tblGrid>
      <w:tr>
        <w:tc>
          <w:tcPr>
            <w:tcW w:type="dxa" w:w="9360"/>
            <w:shd w:fill="F7FAFC"/>
            <w:tcMar>
              <w:top w:w="120" w:type="dxa"/>
              <w:bottom w:w="120" w:type="dxa"/>
              <w:left w:w="160" w:type="dxa"/>
              <w:right w:w="160" w:type="dxa"/>
            </w:tcMar>
            <w:tcBorders>
              <w:top w:val="single" w:sz="6" w:space="0" w:color="CBD5E0"/>
              <w:left w:val="single" w:sz="24" w:space="0" w:color="1A365D"/>
              <w:bottom w:val="single" w:sz="6" w:space="0" w:color="CBD5E0"/>
              <w:right w:val="single" w:sz="6" w:space="0" w:color="CBD5E0"/>
            </w:tcBorders>
          </w:tcPr>
          <w:p>
            <w:pPr>
              <w:spacing w:before="40" w:after="40"/>
            </w:pPr>
            <w:r>
              <w:rPr>
                <w:b/>
                <w:color w:val="1A365D"/>
                <w:sz w:val="21"/>
              </w:rPr>
              <w:t>DRAFT STATUTORY LANGUAGE: TITLE IV — HIGH-PRIVACY &amp; SAFETY SYSTEM DEFAULTS</w:t>
              <w:br/>
            </w:r>
            <w:r>
              <w:rPr>
                <w:rFonts w:ascii="Courier New" w:hAnsi="Courier New"/>
                <w:sz w:val="20"/>
              </w:rPr>
              <w:t>Section 401. Safe System Configuration. All minor accounts must be established with highest privacy settings by default:</w:t>
              <w:br/>
              <w:t>(a) Accounts set to Private by Default, unindexed by public search engines.</w:t>
              <w:br/>
              <w:t>(b) Direct messaging from accounts not established as mutual contacts shall be permanently blocked.</w:t>
              <w:br/>
              <w:t>(c) Geolocation tracking and broadcasting must be permanently disabled.</w:t>
              <w:br/>
              <w:t>(d) Digital facial alteration, warping, and beauty filters that distort physical proportions shall be disabled for minors.</w:t>
            </w:r>
          </w:p>
        </w:tc>
      </w:tr>
    </w:tbl>
    <w:p>
      <w:pPr>
        <w:spacing w:after="80"/>
      </w:pPr>
    </w:p>
    <w:tbl>
      <w:tblPr>
        <w:tblW w:type="auto" w:w="0"/>
        <w:jc w:val="center"/>
        <w:tblLook w:firstColumn="1" w:firstRow="1" w:lastColumn="0" w:lastRow="0" w:noHBand="0" w:noVBand="1" w:val="04A0"/>
      </w:tblPr>
      <w:tblGrid>
        <w:gridCol w:w="9360"/>
      </w:tblGrid>
      <w:tr>
        <w:tc>
          <w:tcPr>
            <w:tcW w:type="dxa" w:w="9360"/>
            <w:shd w:fill="F7FAFC"/>
            <w:tcMar>
              <w:top w:w="120" w:type="dxa"/>
              <w:bottom w:w="120" w:type="dxa"/>
              <w:left w:w="160" w:type="dxa"/>
              <w:right w:w="160" w:type="dxa"/>
            </w:tcMar>
            <w:tcBorders>
              <w:top w:val="single" w:sz="6" w:space="0" w:color="CBD5E0"/>
              <w:left w:val="single" w:sz="24" w:space="0" w:color="1A365D"/>
              <w:bottom w:val="single" w:sz="6" w:space="0" w:color="CBD5E0"/>
              <w:right w:val="single" w:sz="6" w:space="0" w:color="CBD5E0"/>
            </w:tcBorders>
          </w:tcPr>
          <w:p>
            <w:pPr>
              <w:spacing w:before="40" w:after="40"/>
            </w:pPr>
            <w:r>
              <w:rPr>
                <w:b/>
                <w:color w:val="1A365D"/>
                <w:sz w:val="21"/>
              </w:rPr>
              <w:t>DRAFT STATUTORY LANGUAGE: TITLE V — ALGORITHMIC TRANSPARENCY, AUDITS &amp; RESEARCHER DATA TRUSTS</w:t>
              <w:br/>
            </w:r>
            <w:r>
              <w:rPr>
                <w:rFonts w:ascii="Courier New" w:hAnsi="Courier New"/>
                <w:sz w:val="20"/>
              </w:rPr>
              <w:t>Section 501. Independent Risk Assessments. Covered platforms shall submit to annual independent algorithmic safety audits conducted by certified third-party auditing bodies.</w:t>
              <w:br/>
              <w:t>Section 502. Academic Data Trusts. Platforms shall maintain secure, privacy-preserving APIs granting certified academic researchers access to platform telemetry, recommender weights, and internal child safety research.</w:t>
            </w:r>
          </w:p>
        </w:tc>
      </w:tr>
    </w:tbl>
    <w:p>
      <w:pPr>
        <w:spacing w:after="80"/>
      </w:pPr>
    </w:p>
    <w:tbl>
      <w:tblPr>
        <w:tblW w:type="auto" w:w="0"/>
        <w:jc w:val="center"/>
        <w:tblLook w:firstColumn="1" w:firstRow="1" w:lastColumn="0" w:lastRow="0" w:noHBand="0" w:noVBand="1" w:val="04A0"/>
      </w:tblPr>
      <w:tblGrid>
        <w:gridCol w:w="9360"/>
      </w:tblGrid>
      <w:tr>
        <w:tc>
          <w:tcPr>
            <w:tcW w:type="dxa" w:w="9360"/>
            <w:shd w:fill="F7FAFC"/>
            <w:tcMar>
              <w:top w:w="120" w:type="dxa"/>
              <w:bottom w:w="120" w:type="dxa"/>
              <w:left w:w="160" w:type="dxa"/>
              <w:right w:w="160" w:type="dxa"/>
            </w:tcMar>
            <w:tcBorders>
              <w:top w:val="single" w:sz="6" w:space="0" w:color="CBD5E0"/>
              <w:left w:val="single" w:sz="24" w:space="0" w:color="1A365D"/>
              <w:bottom w:val="single" w:sz="6" w:space="0" w:color="CBD5E0"/>
              <w:right w:val="single" w:sz="6" w:space="0" w:color="CBD5E0"/>
            </w:tcBorders>
          </w:tcPr>
          <w:p>
            <w:pPr>
              <w:spacing w:before="40" w:after="40"/>
            </w:pPr>
            <w:r>
              <w:rPr>
                <w:b/>
                <w:color w:val="1A365D"/>
                <w:sz w:val="21"/>
              </w:rPr>
              <w:t>DRAFT STATUTORY LANGUAGE: TITLE VI — ENFORCEMENT, CIVIL PENALTIES &amp; EXECUTIVE ACCOUNTABILITY</w:t>
              <w:br/>
            </w:r>
            <w:r>
              <w:rPr>
                <w:rFonts w:ascii="Courier New" w:hAnsi="Courier New"/>
                <w:sz w:val="20"/>
              </w:rPr>
              <w:t>Section 601. Enforcement Authority. Enforcement shall be vested in the regulatory agency (FTC / State AGs / National Regulator).</w:t>
              <w:br/>
              <w:t>Section 602. Statutory Penalties. Violations shall incur civil penalties of up to $50,000 per violation per affected child, or up to 6% to 10% of global annual gross turnover for systemic willful non-compliance.</w:t>
              <w:br/>
              <w:t>Section 603. Executive Officer Certification. The Chief Executive Officer and Chief Safety Officer must annually certify under penalty of perjury that the platform complies with all provisions of this Act.</w:t>
            </w:r>
          </w:p>
        </w:tc>
      </w:tr>
    </w:tbl>
    <w:p>
      <w:pPr>
        <w:spacing w:after="80"/>
      </w:pPr>
    </w:p>
    <w:tbl>
      <w:tblPr>
        <w:tblW w:type="auto" w:w="0"/>
        <w:jc w:val="center"/>
        <w:tblLook w:firstColumn="1" w:firstRow="1" w:lastColumn="0" w:lastRow="0" w:noHBand="0" w:noVBand="1" w:val="04A0"/>
      </w:tblPr>
      <w:tblGrid>
        <w:gridCol w:w="9360"/>
      </w:tblGrid>
      <w:tr>
        <w:tc>
          <w:tcPr>
            <w:tcW w:type="dxa" w:w="9360"/>
            <w:shd w:fill="F7FAFC"/>
            <w:tcMar>
              <w:top w:w="120" w:type="dxa"/>
              <w:bottom w:w="120" w:type="dxa"/>
              <w:left w:w="160" w:type="dxa"/>
              <w:right w:w="160" w:type="dxa"/>
            </w:tcMar>
            <w:tcBorders>
              <w:top w:val="single" w:sz="6" w:space="0" w:color="CBD5E0"/>
              <w:left w:val="single" w:sz="24" w:space="0" w:color="1A365D"/>
              <w:bottom w:val="single" w:sz="6" w:space="0" w:color="CBD5E0"/>
              <w:right w:val="single" w:sz="6" w:space="0" w:color="CBD5E0"/>
            </w:tcBorders>
          </w:tcPr>
          <w:p>
            <w:pPr>
              <w:spacing w:before="40" w:after="40"/>
            </w:pPr>
            <w:r>
              <w:rPr>
                <w:b/>
                <w:color w:val="1A365D"/>
                <w:sz w:val="21"/>
              </w:rPr>
              <w:t>DRAFT STATUTORY LANGUAGE: TITLE VII — NATIONAL PEDIATRIC DIGITAL WELL-BEING TRUST FUND</w:t>
              <w:br/>
            </w:r>
            <w:r>
              <w:rPr>
                <w:rFonts w:ascii="Courier New" w:hAnsi="Courier New"/>
                <w:sz w:val="20"/>
              </w:rPr>
              <w:t>Section 701. Fund Establishment. All civil penalties collected pursuant to this Act shall be deposited into an interest-bearing National Pediatric Digital Well-Being Trust Fund dedicated to: (1) school-based mental health triage and pediatric counselors; (2) municipal grants for safe physical community third spaces; and (3) independent longitudinal research on child development.</w:t>
            </w:r>
          </w:p>
        </w:tc>
      </w:tr>
    </w:tbl>
    <w:p>
      <w:pPr>
        <w:spacing w:after="80"/>
      </w:pPr>
    </w:p>
    <w:p>
      <w:pPr>
        <w:keepNext/>
        <w:spacing w:before="320" w:after="120"/>
      </w:pPr>
      <w:r>
        <w:rPr>
          <w:rFonts w:ascii="Calibri" w:hAnsi="Calibri"/>
          <w:b/>
          <w:color w:val="1A365D"/>
          <w:sz w:val="28"/>
        </w:rPr>
        <w:t>6. Constitutional Defense Brief: Surviving Judicial Scrutiny</w:t>
      </w:r>
    </w:p>
    <w:p>
      <w:r>
        <w:t>To survive First Amendment commercial speech scrutiny (e.g., NetChoice challenges), legislative drafters must adhere to core legal doctrines:</w:t>
        <w:br/>
        <w:t>1. Regulate Conduct, Not Speech: The model statute targets PRODUCT DESIGN FEATURES and ARCHITECTURAL CONDUCT (infinite scroll, autoplay, data tracking), NOT speech content or viewpoints. Regulating delivery mechanics is legally equivalent to product safety mandates in automobiles or child-resistant pharmaceutical packaging.</w:t>
        <w:br/>
        <w:t>2. Compelling State Interest: Extensive legislative records document the biological and epidemiological harms of screen immersion on developing brains, satisfying strict scrutiny requirements.</w:t>
        <w:br/>
        <w:t>3. Narrow Tailoring &amp; Least Restrictive Means: Mandating Zero-Knowledge Proofs guarantees that adult privacy and anonymous speech rights are preserved without collecting identification documents.</w:t>
      </w:r>
    </w:p>
    <w:p>
      <w:pPr>
        <w:keepNext/>
        <w:spacing w:before="320" w:after="120"/>
      </w:pPr>
      <w:r>
        <w:rPr>
          <w:rFonts w:ascii="Calibri" w:hAnsi="Calibri"/>
          <w:b/>
          <w:color w:val="1A365D"/>
          <w:sz w:val="28"/>
        </w:rPr>
        <w:t>7. Regulatory Implementation Roadmap &amp; Macroeconomic Impact</w:t>
      </w:r>
    </w:p>
    <w:p>
      <w:r>
        <w:t>• Phased Implementation: Phase 1 (0–6 months) focuses on agency rulemaking; Phase 2 (6–12 months) enforces default privacy and push notification curfews; Phase 3 (12–24 months) enforces full algorithmic bans and third-party audits.</w:t>
      </w:r>
    </w:p>
    <w:p>
      <w:pPr>
        <w:keepNext/>
        <w:spacing w:before="240" w:after="80"/>
      </w:pPr>
      <w:r>
        <w:rPr>
          <w:rFonts w:ascii="Calibri" w:hAnsi="Calibri"/>
          <w:b/>
          <w:color w:val="2B6CB0"/>
          <w:sz w:val="24"/>
        </w:rPr>
        <w:t>7.1 Macroeconomic Cost-Benefit Analysis and Fiscal Impact Model</w:t>
      </w:r>
    </w:p>
    <w:p>
      <w:r>
        <w:t>To evaluate commercial platform objections regarding compliance overhead, this model contrasts private sector engineering and governance costs against quantifiable public sector savings and societal economic offsets across healthcare, education, law enforcement, and human capital.</w:t>
      </w:r>
    </w:p>
    <w:p>
      <w:r>
        <w:rPr>
          <w:b/>
          <w:color w:val="1A365D"/>
          <w:sz w:val="21"/>
        </w:rPr>
        <w:t>Table 4: Comprehensive Macroeconomic Cost-Benefit Matrix (Annualized Fiscal Projections)</w:t>
      </w:r>
    </w:p>
    <w:tbl>
      <w:tblPr>
        <w:tblW w:type="auto" w:w="0"/>
        <w:jc w:val="center"/>
        <w:tblLook w:firstColumn="1" w:firstRow="1" w:lastColumn="0" w:lastRow="0" w:noHBand="0" w:noVBand="1" w:val="04A0"/>
        <w:tblBorders>
          <w:top w:val="single" w:sz="8" w:space="0" w:color="1A365D"/>
          <w:bottom w:val="single" w:sz="8" w:space="0" w:color="1A365D"/>
          <w:insideH w:val="single" w:sz="4" w:space="0" w:color="E2E8F0"/>
          <w:insideV w:val="none"/>
          <w:left w:val="none"/>
          <w:right w:val="none"/>
        </w:tblBorders>
      </w:tblPr>
      <w:tblGrid>
        <w:gridCol w:w="2340"/>
        <w:gridCol w:w="2340"/>
        <w:gridCol w:w="2340"/>
        <w:gridCol w:w="2340"/>
      </w:tblGrid>
      <w:tr>
        <w:tc>
          <w:tcPr>
            <w:tcW w:type="dxa" w:w="2340"/>
            <w:shd w:fill="1A365D"/>
            <w:tcMar>
              <w:top w:w="100" w:type="dxa"/>
              <w:bottom w:w="100" w:type="dxa"/>
              <w:left w:w="120" w:type="dxa"/>
              <w:right w:w="120" w:type="dxa"/>
            </w:tcMar>
          </w:tcPr>
          <w:p>
            <w:pPr>
              <w:spacing w:after="0"/>
            </w:pPr>
            <w:r>
              <w:rPr>
                <w:b/>
                <w:color w:val="FFFFFF"/>
                <w:sz w:val="18"/>
              </w:rPr>
              <w:t>Economic Dimension &amp; Sector</w:t>
            </w:r>
          </w:p>
        </w:tc>
        <w:tc>
          <w:tcPr>
            <w:tcW w:type="dxa" w:w="2340"/>
            <w:shd w:fill="1A365D"/>
            <w:tcMar>
              <w:top w:w="100" w:type="dxa"/>
              <w:bottom w:w="100" w:type="dxa"/>
              <w:left w:w="120" w:type="dxa"/>
              <w:right w:w="120" w:type="dxa"/>
            </w:tcMar>
          </w:tcPr>
          <w:p>
            <w:pPr>
              <w:spacing w:after="0"/>
            </w:pPr>
            <w:r>
              <w:rPr>
                <w:b/>
                <w:color w:val="FFFFFF"/>
                <w:sz w:val="18"/>
              </w:rPr>
              <w:t>Itemized Cost / Benefit Description</w:t>
            </w:r>
          </w:p>
        </w:tc>
        <w:tc>
          <w:tcPr>
            <w:tcW w:type="dxa" w:w="2340"/>
            <w:shd w:fill="1A365D"/>
            <w:tcMar>
              <w:top w:w="100" w:type="dxa"/>
              <w:bottom w:w="100" w:type="dxa"/>
              <w:left w:w="120" w:type="dxa"/>
              <w:right w:w="120" w:type="dxa"/>
            </w:tcMar>
          </w:tcPr>
          <w:p>
            <w:pPr>
              <w:spacing w:after="0"/>
            </w:pPr>
            <w:r>
              <w:rPr>
                <w:b/>
                <w:color w:val="FFFFFF"/>
                <w:sz w:val="18"/>
              </w:rPr>
              <w:t>Annualized Estimate (USD)</w:t>
            </w:r>
          </w:p>
        </w:tc>
        <w:tc>
          <w:tcPr>
            <w:tcW w:type="dxa" w:w="2340"/>
            <w:shd w:fill="1A365D"/>
            <w:tcMar>
              <w:top w:w="100" w:type="dxa"/>
              <w:bottom w:w="100" w:type="dxa"/>
              <w:left w:w="120" w:type="dxa"/>
              <w:right w:w="120" w:type="dxa"/>
            </w:tcMar>
          </w:tcPr>
          <w:p>
            <w:pPr>
              <w:spacing w:after="0"/>
            </w:pPr>
            <w:r>
              <w:rPr>
                <w:b/>
                <w:color w:val="FFFFFF"/>
                <w:sz w:val="18"/>
              </w:rPr>
              <w:t>Economic &amp; Fiscal Methodology</w:t>
            </w:r>
          </w:p>
        </w:tc>
      </w:tr>
      <w:tr>
        <w:tc>
          <w:tcPr>
            <w:tcW w:type="dxa" w:w="2340"/>
            <w:shd w:fill="F7FAFC"/>
            <w:tcMar>
              <w:top w:w="80" w:type="dxa"/>
              <w:bottom w:w="80" w:type="dxa"/>
              <w:left w:w="100" w:type="dxa"/>
              <w:right w:w="100" w:type="dxa"/>
            </w:tcMar>
          </w:tcPr>
          <w:p>
            <w:pPr>
              <w:spacing w:after="0"/>
            </w:pPr>
            <w:r>
              <w:rPr>
                <w:sz w:val="17"/>
              </w:rPr>
              <w:t>PRIVATE SECTOR COSTS</w:t>
              <w:br/>
              <w:t>(Platform Compliance)</w:t>
            </w:r>
          </w:p>
        </w:tc>
        <w:tc>
          <w:tcPr>
            <w:tcW w:type="dxa" w:w="2340"/>
            <w:shd w:fill="F7FAFC"/>
            <w:tcMar>
              <w:top w:w="80" w:type="dxa"/>
              <w:bottom w:w="80" w:type="dxa"/>
              <w:left w:w="100" w:type="dxa"/>
              <w:right w:w="100" w:type="dxa"/>
            </w:tcMar>
          </w:tcPr>
          <w:p>
            <w:pPr>
              <w:spacing w:after="0"/>
            </w:pPr>
            <w:r>
              <w:rPr>
                <w:sz w:val="17"/>
              </w:rPr>
              <w:t>Architectural re-engineering (disabling infinite scroll, auto-play, circuit breakers)</w:t>
            </w:r>
          </w:p>
        </w:tc>
        <w:tc>
          <w:tcPr>
            <w:tcW w:type="dxa" w:w="2340"/>
            <w:shd w:fill="F7FAFC"/>
            <w:tcMar>
              <w:top w:w="80" w:type="dxa"/>
              <w:bottom w:w="80" w:type="dxa"/>
              <w:left w:w="100" w:type="dxa"/>
              <w:right w:w="100" w:type="dxa"/>
            </w:tcMar>
          </w:tcPr>
          <w:p>
            <w:pPr>
              <w:spacing w:after="0"/>
            </w:pPr>
            <w:r>
              <w:rPr>
                <w:sz w:val="17"/>
              </w:rPr>
              <w:t>$15M - $25M per VLOP</w:t>
            </w:r>
          </w:p>
        </w:tc>
        <w:tc>
          <w:tcPr>
            <w:tcW w:type="dxa" w:w="2340"/>
            <w:shd w:fill="F7FAFC"/>
            <w:tcMar>
              <w:top w:w="80" w:type="dxa"/>
              <w:bottom w:w="80" w:type="dxa"/>
              <w:left w:w="100" w:type="dxa"/>
              <w:right w:w="100" w:type="dxa"/>
            </w:tcMar>
          </w:tcPr>
          <w:p>
            <w:pPr>
              <w:spacing w:after="0"/>
            </w:pPr>
            <w:r>
              <w:rPr>
                <w:sz w:val="17"/>
              </w:rPr>
              <w:t>Engineering FTE reallocation; design sprint amortization over 3-year cycles.</w:t>
            </w:r>
          </w:p>
        </w:tc>
      </w:tr>
      <w:tr>
        <w:tc>
          <w:tcPr>
            <w:tcW w:type="dxa" w:w="2340"/>
            <w:shd w:fill="FFFFFF"/>
            <w:tcMar>
              <w:top w:w="80" w:type="dxa"/>
              <w:bottom w:w="80" w:type="dxa"/>
              <w:left w:w="100" w:type="dxa"/>
              <w:right w:w="100" w:type="dxa"/>
            </w:tcMar>
          </w:tcPr>
          <w:p>
            <w:pPr>
              <w:spacing w:after="0"/>
            </w:pPr>
            <w:r>
              <w:rPr>
                <w:sz w:val="17"/>
              </w:rPr>
              <w:t>PRIVATE SECTOR COSTS</w:t>
              <w:br/>
              <w:t>(Age Assurance)</w:t>
            </w:r>
          </w:p>
        </w:tc>
        <w:tc>
          <w:tcPr>
            <w:tcW w:type="dxa" w:w="2340"/>
            <w:shd w:fill="FFFFFF"/>
            <w:tcMar>
              <w:top w:w="80" w:type="dxa"/>
              <w:bottom w:w="80" w:type="dxa"/>
              <w:left w:w="100" w:type="dxa"/>
              <w:right w:w="100" w:type="dxa"/>
            </w:tcMar>
          </w:tcPr>
          <w:p>
            <w:pPr>
              <w:spacing w:after="0"/>
            </w:pPr>
            <w:r>
              <w:rPr>
                <w:sz w:val="17"/>
              </w:rPr>
              <w:t>Cryptographic Zero-Knowledge Proof API integration &amp; hardware tokenization</w:t>
            </w:r>
          </w:p>
        </w:tc>
        <w:tc>
          <w:tcPr>
            <w:tcW w:type="dxa" w:w="2340"/>
            <w:shd w:fill="FFFFFF"/>
            <w:tcMar>
              <w:top w:w="80" w:type="dxa"/>
              <w:bottom w:w="80" w:type="dxa"/>
              <w:left w:w="100" w:type="dxa"/>
              <w:right w:w="100" w:type="dxa"/>
            </w:tcMar>
          </w:tcPr>
          <w:p>
            <w:pPr>
              <w:spacing w:after="0"/>
            </w:pPr>
            <w:r>
              <w:rPr>
                <w:sz w:val="17"/>
              </w:rPr>
              <w:t>$5M - $10M per VLOP</w:t>
            </w:r>
          </w:p>
        </w:tc>
        <w:tc>
          <w:tcPr>
            <w:tcW w:type="dxa" w:w="2340"/>
            <w:shd w:fill="FFFFFF"/>
            <w:tcMar>
              <w:top w:w="80" w:type="dxa"/>
              <w:bottom w:w="80" w:type="dxa"/>
              <w:left w:w="100" w:type="dxa"/>
              <w:right w:w="100" w:type="dxa"/>
            </w:tcMar>
          </w:tcPr>
          <w:p>
            <w:pPr>
              <w:spacing w:after="0"/>
            </w:pPr>
            <w:r>
              <w:rPr>
                <w:sz w:val="17"/>
              </w:rPr>
              <w:t>Decentralized identity protocol licensing and vendor verification integrations.</w:t>
            </w:r>
          </w:p>
        </w:tc>
      </w:tr>
      <w:tr>
        <w:tc>
          <w:tcPr>
            <w:tcW w:type="dxa" w:w="2340"/>
            <w:shd w:fill="F7FAFC"/>
            <w:tcMar>
              <w:top w:w="80" w:type="dxa"/>
              <w:bottom w:w="80" w:type="dxa"/>
              <w:left w:w="100" w:type="dxa"/>
              <w:right w:w="100" w:type="dxa"/>
            </w:tcMar>
          </w:tcPr>
          <w:p>
            <w:pPr>
              <w:spacing w:after="0"/>
            </w:pPr>
            <w:r>
              <w:rPr>
                <w:sz w:val="17"/>
              </w:rPr>
              <w:t>PRIVATE SECTOR COSTS</w:t>
              <w:br/>
              <w:t>(Auditing &amp; Governance)</w:t>
            </w:r>
          </w:p>
        </w:tc>
        <w:tc>
          <w:tcPr>
            <w:tcW w:type="dxa" w:w="2340"/>
            <w:shd w:fill="F7FAFC"/>
            <w:tcMar>
              <w:top w:w="80" w:type="dxa"/>
              <w:bottom w:w="80" w:type="dxa"/>
              <w:left w:w="100" w:type="dxa"/>
              <w:right w:w="100" w:type="dxa"/>
            </w:tcMar>
          </w:tcPr>
          <w:p>
            <w:pPr>
              <w:spacing w:after="0"/>
            </w:pPr>
            <w:r>
              <w:rPr>
                <w:sz w:val="17"/>
              </w:rPr>
              <w:t>Annual certified third-party algorithmic safety audits and academic data trust APIs</w:t>
            </w:r>
          </w:p>
        </w:tc>
        <w:tc>
          <w:tcPr>
            <w:tcW w:type="dxa" w:w="2340"/>
            <w:shd w:fill="F7FAFC"/>
            <w:tcMar>
              <w:top w:w="80" w:type="dxa"/>
              <w:bottom w:w="80" w:type="dxa"/>
              <w:left w:w="100" w:type="dxa"/>
              <w:right w:w="100" w:type="dxa"/>
            </w:tcMar>
          </w:tcPr>
          <w:p>
            <w:pPr>
              <w:spacing w:after="0"/>
            </w:pPr>
            <w:r>
              <w:rPr>
                <w:sz w:val="17"/>
              </w:rPr>
              <w:t>$4M - $8M per VLOP</w:t>
            </w:r>
          </w:p>
        </w:tc>
        <w:tc>
          <w:tcPr>
            <w:tcW w:type="dxa" w:w="2340"/>
            <w:shd w:fill="F7FAFC"/>
            <w:tcMar>
              <w:top w:w="80" w:type="dxa"/>
              <w:bottom w:w="80" w:type="dxa"/>
              <w:left w:w="100" w:type="dxa"/>
              <w:right w:w="100" w:type="dxa"/>
            </w:tcMar>
          </w:tcPr>
          <w:p>
            <w:pPr>
              <w:spacing w:after="0"/>
            </w:pPr>
            <w:r>
              <w:rPr>
                <w:sz w:val="17"/>
              </w:rPr>
              <w:t>Retainers for independent cybersecurity and algorithmic risk auditors.</w:t>
            </w:r>
          </w:p>
        </w:tc>
      </w:tr>
      <w:tr>
        <w:tc>
          <w:tcPr>
            <w:tcW w:type="dxa" w:w="2340"/>
            <w:shd w:fill="FFFFFF"/>
            <w:tcMar>
              <w:top w:w="80" w:type="dxa"/>
              <w:bottom w:w="80" w:type="dxa"/>
              <w:left w:w="100" w:type="dxa"/>
              <w:right w:w="100" w:type="dxa"/>
            </w:tcMar>
          </w:tcPr>
          <w:p>
            <w:pPr>
              <w:spacing w:after="0"/>
            </w:pPr>
            <w:r>
              <w:rPr>
                <w:sz w:val="17"/>
              </w:rPr>
              <w:t>PRIVATE SECTOR COSTS</w:t>
              <w:br/>
              <w:t>(Human Moderation)</w:t>
            </w:r>
          </w:p>
        </w:tc>
        <w:tc>
          <w:tcPr>
            <w:tcW w:type="dxa" w:w="2340"/>
            <w:shd w:fill="FFFFFF"/>
            <w:tcMar>
              <w:top w:w="80" w:type="dxa"/>
              <w:bottom w:w="80" w:type="dxa"/>
              <w:left w:w="100" w:type="dxa"/>
              <w:right w:w="100" w:type="dxa"/>
            </w:tcMar>
          </w:tcPr>
          <w:p>
            <w:pPr>
              <w:spacing w:after="0"/>
            </w:pPr>
            <w:r>
              <w:rPr>
                <w:sz w:val="17"/>
              </w:rPr>
              <w:t>Expansion of specialized, culturally competent child safety human review teams</w:t>
            </w:r>
          </w:p>
        </w:tc>
        <w:tc>
          <w:tcPr>
            <w:tcW w:type="dxa" w:w="2340"/>
            <w:shd w:fill="FFFFFF"/>
            <w:tcMar>
              <w:top w:w="80" w:type="dxa"/>
              <w:bottom w:w="80" w:type="dxa"/>
              <w:left w:w="100" w:type="dxa"/>
              <w:right w:w="100" w:type="dxa"/>
            </w:tcMar>
          </w:tcPr>
          <w:p>
            <w:pPr>
              <w:spacing w:after="0"/>
            </w:pPr>
            <w:r>
              <w:rPr>
                <w:sz w:val="17"/>
              </w:rPr>
              <w:t>$25M - $50M per VLOP</w:t>
            </w:r>
          </w:p>
        </w:tc>
        <w:tc>
          <w:tcPr>
            <w:tcW w:type="dxa" w:w="2340"/>
            <w:shd w:fill="FFFFFF"/>
            <w:tcMar>
              <w:top w:w="80" w:type="dxa"/>
              <w:bottom w:w="80" w:type="dxa"/>
              <w:left w:w="100" w:type="dxa"/>
              <w:right w:w="100" w:type="dxa"/>
            </w:tcMar>
          </w:tcPr>
          <w:p>
            <w:pPr>
              <w:spacing w:after="0"/>
            </w:pPr>
            <w:r>
              <w:rPr>
                <w:sz w:val="17"/>
              </w:rPr>
              <w:t>Expanding escalation personnel dedicated to CSAM and predatory grooming.</w:t>
            </w:r>
          </w:p>
        </w:tc>
      </w:tr>
      <w:tr>
        <w:tc>
          <w:tcPr>
            <w:tcW w:type="dxa" w:w="2340"/>
            <w:shd w:fill="EDF2F7"/>
            <w:tcMar>
              <w:top w:w="80" w:type="dxa"/>
              <w:bottom w:w="80" w:type="dxa"/>
              <w:left w:w="100" w:type="dxa"/>
              <w:right w:w="100" w:type="dxa"/>
            </w:tcMar>
          </w:tcPr>
          <w:p>
            <w:pPr>
              <w:spacing w:after="0"/>
            </w:pPr>
            <w:r>
              <w:rPr>
                <w:b/>
                <w:sz w:val="17"/>
              </w:rPr>
              <w:t>SUBTOTAL: INDUSTRY COMPLIANCE</w:t>
            </w:r>
          </w:p>
        </w:tc>
        <w:tc>
          <w:tcPr>
            <w:tcW w:type="dxa" w:w="2340"/>
            <w:shd w:fill="EDF2F7"/>
            <w:tcMar>
              <w:top w:w="80" w:type="dxa"/>
              <w:bottom w:w="80" w:type="dxa"/>
              <w:left w:w="100" w:type="dxa"/>
              <w:right w:w="100" w:type="dxa"/>
            </w:tcMar>
          </w:tcPr>
          <w:p>
            <w:pPr>
              <w:spacing w:after="0"/>
            </w:pPr>
            <w:r>
              <w:rPr>
                <w:b/>
                <w:sz w:val="17"/>
              </w:rPr>
              <w:t>AGGREGATE ANNUAL COMPLIANCE OVERHEAD ACROSS TOP 10 DOMINANT PLATFORMS</w:t>
            </w:r>
          </w:p>
        </w:tc>
        <w:tc>
          <w:tcPr>
            <w:tcW w:type="dxa" w:w="2340"/>
            <w:shd w:fill="EDF2F7"/>
            <w:tcMar>
              <w:top w:w="80" w:type="dxa"/>
              <w:bottom w:w="80" w:type="dxa"/>
              <w:left w:w="100" w:type="dxa"/>
              <w:right w:w="100" w:type="dxa"/>
            </w:tcMar>
          </w:tcPr>
          <w:p>
            <w:pPr>
              <w:spacing w:after="0"/>
            </w:pPr>
            <w:r>
              <w:rPr>
                <w:b/>
                <w:sz w:val="17"/>
              </w:rPr>
              <w:t>$490 Million - $930 Million</w:t>
            </w:r>
          </w:p>
        </w:tc>
        <w:tc>
          <w:tcPr>
            <w:tcW w:type="dxa" w:w="2340"/>
            <w:shd w:fill="EDF2F7"/>
            <w:tcMar>
              <w:top w:w="80" w:type="dxa"/>
              <w:bottom w:w="80" w:type="dxa"/>
              <w:left w:w="100" w:type="dxa"/>
              <w:right w:w="100" w:type="dxa"/>
            </w:tcMar>
          </w:tcPr>
          <w:p>
            <w:pPr>
              <w:spacing w:after="0"/>
            </w:pPr>
            <w:r>
              <w:rPr>
                <w:b/>
                <w:sz w:val="17"/>
              </w:rPr>
              <w:t>&lt;0.1% of aggregate annual net advertising revenues of dominant tech firms.</w:t>
            </w:r>
          </w:p>
        </w:tc>
      </w:tr>
      <w:tr>
        <w:tc>
          <w:tcPr>
            <w:tcW w:type="dxa" w:w="2340"/>
            <w:shd w:fill="FFFFFF"/>
            <w:tcMar>
              <w:top w:w="80" w:type="dxa"/>
              <w:bottom w:w="80" w:type="dxa"/>
              <w:left w:w="100" w:type="dxa"/>
              <w:right w:w="100" w:type="dxa"/>
            </w:tcMar>
          </w:tcPr>
          <w:p>
            <w:pPr>
              <w:spacing w:after="0"/>
            </w:pPr>
            <w:r>
              <w:rPr>
                <w:sz w:val="17"/>
              </w:rPr>
              <w:t>PUBLIC SECTOR SAVINGS</w:t>
              <w:br/>
              <w:t>(Healthcare &amp; Psychiatry)</w:t>
            </w:r>
          </w:p>
        </w:tc>
        <w:tc>
          <w:tcPr>
            <w:tcW w:type="dxa" w:w="2340"/>
            <w:shd w:fill="FFFFFF"/>
            <w:tcMar>
              <w:top w:w="80" w:type="dxa"/>
              <w:bottom w:w="80" w:type="dxa"/>
              <w:left w:w="100" w:type="dxa"/>
              <w:right w:w="100" w:type="dxa"/>
            </w:tcMar>
          </w:tcPr>
          <w:p>
            <w:pPr>
              <w:spacing w:after="0"/>
            </w:pPr>
            <w:r>
              <w:rPr>
                <w:sz w:val="17"/>
              </w:rPr>
              <w:t>Direct reductions in pediatric psychiatric ER visits and inpatient beds (averted 35-45%)</w:t>
            </w:r>
          </w:p>
        </w:tc>
        <w:tc>
          <w:tcPr>
            <w:tcW w:type="dxa" w:w="2340"/>
            <w:shd w:fill="FFFFFF"/>
            <w:tcMar>
              <w:top w:w="80" w:type="dxa"/>
              <w:bottom w:w="80" w:type="dxa"/>
              <w:left w:w="100" w:type="dxa"/>
              <w:right w:w="100" w:type="dxa"/>
            </w:tcMar>
          </w:tcPr>
          <w:p>
            <w:pPr>
              <w:spacing w:after="0"/>
            </w:pPr>
            <w:r>
              <w:rPr>
                <w:sz w:val="17"/>
              </w:rPr>
              <w:t>+$14.2B - $22.5B annually</w:t>
            </w:r>
          </w:p>
        </w:tc>
        <w:tc>
          <w:tcPr>
            <w:tcW w:type="dxa" w:w="2340"/>
            <w:shd w:fill="FFFFFF"/>
            <w:tcMar>
              <w:top w:w="80" w:type="dxa"/>
              <w:bottom w:w="80" w:type="dxa"/>
              <w:left w:w="100" w:type="dxa"/>
              <w:right w:w="100" w:type="dxa"/>
            </w:tcMar>
          </w:tcPr>
          <w:p>
            <w:pPr>
              <w:spacing w:after="0"/>
            </w:pPr>
            <w:r>
              <w:rPr>
                <w:sz w:val="17"/>
              </w:rPr>
              <w:t>CDC/SAMHSA emergency billing; pediatric inpatient daily cost averages ($2,800/day).</w:t>
            </w:r>
          </w:p>
        </w:tc>
      </w:tr>
      <w:tr>
        <w:tc>
          <w:tcPr>
            <w:tcW w:type="dxa" w:w="2340"/>
            <w:shd w:fill="F7FAFC"/>
            <w:tcMar>
              <w:top w:w="80" w:type="dxa"/>
              <w:bottom w:w="80" w:type="dxa"/>
              <w:left w:w="100" w:type="dxa"/>
              <w:right w:w="100" w:type="dxa"/>
            </w:tcMar>
          </w:tcPr>
          <w:p>
            <w:pPr>
              <w:spacing w:after="0"/>
            </w:pPr>
            <w:r>
              <w:rPr>
                <w:sz w:val="17"/>
              </w:rPr>
              <w:t>PUBLIC SECTOR SAVINGS</w:t>
              <w:br/>
              <w:t>(Educational Budgets)</w:t>
            </w:r>
          </w:p>
        </w:tc>
        <w:tc>
          <w:tcPr>
            <w:tcW w:type="dxa" w:w="2340"/>
            <w:shd w:fill="F7FAFC"/>
            <w:tcMar>
              <w:top w:w="80" w:type="dxa"/>
              <w:bottom w:w="80" w:type="dxa"/>
              <w:left w:w="100" w:type="dxa"/>
              <w:right w:w="100" w:type="dxa"/>
            </w:tcMar>
          </w:tcPr>
          <w:p>
            <w:pPr>
              <w:spacing w:after="0"/>
            </w:pPr>
            <w:r>
              <w:rPr>
                <w:sz w:val="17"/>
              </w:rPr>
              <w:t>Reduced school spending on distraction policing, behavioral staff, and remedial tutoring</w:t>
            </w:r>
          </w:p>
        </w:tc>
        <w:tc>
          <w:tcPr>
            <w:tcW w:type="dxa" w:w="2340"/>
            <w:shd w:fill="F7FAFC"/>
            <w:tcMar>
              <w:top w:w="80" w:type="dxa"/>
              <w:bottom w:w="80" w:type="dxa"/>
              <w:left w:w="100" w:type="dxa"/>
              <w:right w:w="100" w:type="dxa"/>
            </w:tcMar>
          </w:tcPr>
          <w:p>
            <w:pPr>
              <w:spacing w:after="0"/>
            </w:pPr>
            <w:r>
              <w:rPr>
                <w:sz w:val="17"/>
              </w:rPr>
              <w:t>+$6.8B - $10.4B annually</w:t>
            </w:r>
          </w:p>
        </w:tc>
        <w:tc>
          <w:tcPr>
            <w:tcW w:type="dxa" w:w="2340"/>
            <w:shd w:fill="F7FAFC"/>
            <w:tcMar>
              <w:top w:w="80" w:type="dxa"/>
              <w:bottom w:w="80" w:type="dxa"/>
              <w:left w:w="100" w:type="dxa"/>
              <w:right w:w="100" w:type="dxa"/>
            </w:tcMar>
          </w:tcPr>
          <w:p>
            <w:pPr>
              <w:spacing w:after="0"/>
            </w:pPr>
            <w:r>
              <w:rPr>
                <w:sz w:val="17"/>
              </w:rPr>
              <w:t>National Center for Education Statistics (NCES); school district staffing models.</w:t>
            </w:r>
          </w:p>
        </w:tc>
      </w:tr>
      <w:tr>
        <w:tc>
          <w:tcPr>
            <w:tcW w:type="dxa" w:w="2340"/>
            <w:shd w:fill="FFFFFF"/>
            <w:tcMar>
              <w:top w:w="80" w:type="dxa"/>
              <w:bottom w:w="80" w:type="dxa"/>
              <w:left w:w="100" w:type="dxa"/>
              <w:right w:w="100" w:type="dxa"/>
            </w:tcMar>
          </w:tcPr>
          <w:p>
            <w:pPr>
              <w:spacing w:after="0"/>
            </w:pPr>
            <w:r>
              <w:rPr>
                <w:sz w:val="17"/>
              </w:rPr>
              <w:t>PUBLIC SECTOR SAVINGS</w:t>
              <w:br/>
              <w:t>(Justice &amp; Enforcement)</w:t>
            </w:r>
          </w:p>
        </w:tc>
        <w:tc>
          <w:tcPr>
            <w:tcW w:type="dxa" w:w="2340"/>
            <w:shd w:fill="FFFFFF"/>
            <w:tcMar>
              <w:top w:w="80" w:type="dxa"/>
              <w:bottom w:w="80" w:type="dxa"/>
              <w:left w:w="100" w:type="dxa"/>
              <w:right w:w="100" w:type="dxa"/>
            </w:tcMar>
          </w:tcPr>
          <w:p>
            <w:pPr>
              <w:spacing w:after="0"/>
            </w:pPr>
            <w:r>
              <w:rPr>
                <w:sz w:val="17"/>
              </w:rPr>
              <w:t>Averted law enforcement and victim forensic investigations for financial sextortion</w:t>
            </w:r>
          </w:p>
        </w:tc>
        <w:tc>
          <w:tcPr>
            <w:tcW w:type="dxa" w:w="2340"/>
            <w:shd w:fill="FFFFFF"/>
            <w:tcMar>
              <w:top w:w="80" w:type="dxa"/>
              <w:bottom w:w="80" w:type="dxa"/>
              <w:left w:w="100" w:type="dxa"/>
              <w:right w:w="100" w:type="dxa"/>
            </w:tcMar>
          </w:tcPr>
          <w:p>
            <w:pPr>
              <w:spacing w:after="0"/>
            </w:pPr>
            <w:r>
              <w:rPr>
                <w:sz w:val="17"/>
              </w:rPr>
              <w:t>+$1.8B - $3.2B annually</w:t>
            </w:r>
          </w:p>
        </w:tc>
        <w:tc>
          <w:tcPr>
            <w:tcW w:type="dxa" w:w="2340"/>
            <w:shd w:fill="FFFFFF"/>
            <w:tcMar>
              <w:top w:w="80" w:type="dxa"/>
              <w:bottom w:w="80" w:type="dxa"/>
              <w:left w:w="100" w:type="dxa"/>
              <w:right w:w="100" w:type="dxa"/>
            </w:tcMar>
          </w:tcPr>
          <w:p>
            <w:pPr>
              <w:spacing w:after="0"/>
            </w:pPr>
            <w:r>
              <w:rPr>
                <w:sz w:val="17"/>
              </w:rPr>
              <w:t>DOJ IC3 cyber-crime reports; municipal law enforcement tracking.</w:t>
            </w:r>
          </w:p>
        </w:tc>
      </w:tr>
      <w:tr>
        <w:tc>
          <w:tcPr>
            <w:tcW w:type="dxa" w:w="2340"/>
            <w:shd w:fill="F7FAFC"/>
            <w:tcMar>
              <w:top w:w="80" w:type="dxa"/>
              <w:bottom w:w="80" w:type="dxa"/>
              <w:left w:w="100" w:type="dxa"/>
              <w:right w:w="100" w:type="dxa"/>
            </w:tcMar>
          </w:tcPr>
          <w:p>
            <w:pPr>
              <w:spacing w:after="0"/>
            </w:pPr>
            <w:r>
              <w:rPr>
                <w:sz w:val="17"/>
              </w:rPr>
              <w:t>SOCIETAL WEALTH GAIN</w:t>
              <w:br/>
              <w:t>(Human Capital)</w:t>
            </w:r>
          </w:p>
        </w:tc>
        <w:tc>
          <w:tcPr>
            <w:tcW w:type="dxa" w:w="2340"/>
            <w:shd w:fill="F7FAFC"/>
            <w:tcMar>
              <w:top w:w="80" w:type="dxa"/>
              <w:bottom w:w="80" w:type="dxa"/>
              <w:left w:w="100" w:type="dxa"/>
              <w:right w:w="100" w:type="dxa"/>
            </w:tcMar>
          </w:tcPr>
          <w:p>
            <w:pPr>
              <w:spacing w:after="0"/>
            </w:pPr>
            <w:r>
              <w:rPr>
                <w:sz w:val="17"/>
              </w:rPr>
              <w:t>Reversal of cognitive fragmentation; restoring 20-30 OECD PISA points in reading &amp; math</w:t>
            </w:r>
          </w:p>
        </w:tc>
        <w:tc>
          <w:tcPr>
            <w:tcW w:type="dxa" w:w="2340"/>
            <w:shd w:fill="F7FAFC"/>
            <w:tcMar>
              <w:top w:w="80" w:type="dxa"/>
              <w:bottom w:w="80" w:type="dxa"/>
              <w:left w:w="100" w:type="dxa"/>
              <w:right w:w="100" w:type="dxa"/>
            </w:tcMar>
          </w:tcPr>
          <w:p>
            <w:pPr>
              <w:spacing w:after="0"/>
            </w:pPr>
            <w:r>
              <w:rPr>
                <w:sz w:val="17"/>
              </w:rPr>
              <w:t>+$18.5B - $28.0B annually</w:t>
            </w:r>
          </w:p>
        </w:tc>
        <w:tc>
          <w:tcPr>
            <w:tcW w:type="dxa" w:w="2340"/>
            <w:shd w:fill="F7FAFC"/>
            <w:tcMar>
              <w:top w:w="80" w:type="dxa"/>
              <w:bottom w:w="80" w:type="dxa"/>
              <w:left w:w="100" w:type="dxa"/>
              <w:right w:w="100" w:type="dxa"/>
            </w:tcMar>
          </w:tcPr>
          <w:p>
            <w:pPr>
              <w:spacing w:after="0"/>
            </w:pPr>
            <w:r>
              <w:rPr>
                <w:sz w:val="17"/>
              </w:rPr>
              <w:t>OECD human capital earnings model: lifetime productivity gains discounted at 3% NPV.</w:t>
            </w:r>
          </w:p>
        </w:tc>
      </w:tr>
      <w:tr>
        <w:tc>
          <w:tcPr>
            <w:tcW w:type="dxa" w:w="2340"/>
            <w:shd w:fill="EDF2F7"/>
            <w:tcMar>
              <w:top w:w="80" w:type="dxa"/>
              <w:bottom w:w="80" w:type="dxa"/>
              <w:left w:w="100" w:type="dxa"/>
              <w:right w:w="100" w:type="dxa"/>
            </w:tcMar>
          </w:tcPr>
          <w:p>
            <w:pPr>
              <w:spacing w:after="0"/>
            </w:pPr>
            <w:r>
              <w:rPr>
                <w:b/>
                <w:sz w:val="17"/>
              </w:rPr>
              <w:t>SUBTOTAL: PUBLIC SAVINGS</w:t>
            </w:r>
          </w:p>
        </w:tc>
        <w:tc>
          <w:tcPr>
            <w:tcW w:type="dxa" w:w="2340"/>
            <w:shd w:fill="EDF2F7"/>
            <w:tcMar>
              <w:top w:w="80" w:type="dxa"/>
              <w:bottom w:w="80" w:type="dxa"/>
              <w:left w:w="100" w:type="dxa"/>
              <w:right w:w="100" w:type="dxa"/>
            </w:tcMar>
          </w:tcPr>
          <w:p>
            <w:pPr>
              <w:spacing w:after="0"/>
            </w:pPr>
            <w:r>
              <w:rPr>
                <w:b/>
                <w:sz w:val="17"/>
              </w:rPr>
              <w:t>AGGREGATE ANNUAL GROSS PUBLIC SAVINGS &amp; PRODUCTIVITY DIVIDEND</w:t>
            </w:r>
          </w:p>
        </w:tc>
        <w:tc>
          <w:tcPr>
            <w:tcW w:type="dxa" w:w="2340"/>
            <w:shd w:fill="EDF2F7"/>
            <w:tcMar>
              <w:top w:w="80" w:type="dxa"/>
              <w:bottom w:w="80" w:type="dxa"/>
              <w:left w:w="100" w:type="dxa"/>
              <w:right w:w="100" w:type="dxa"/>
            </w:tcMar>
          </w:tcPr>
          <w:p>
            <w:pPr>
              <w:spacing w:after="0"/>
            </w:pPr>
            <w:r>
              <w:rPr>
                <w:b/>
                <w:sz w:val="17"/>
              </w:rPr>
              <w:t>+$41.3B - $64.1B annually</w:t>
            </w:r>
          </w:p>
        </w:tc>
        <w:tc>
          <w:tcPr>
            <w:tcW w:type="dxa" w:w="2340"/>
            <w:shd w:fill="EDF2F7"/>
            <w:tcMar>
              <w:top w:w="80" w:type="dxa"/>
              <w:bottom w:w="80" w:type="dxa"/>
              <w:left w:w="100" w:type="dxa"/>
              <w:right w:w="100" w:type="dxa"/>
            </w:tcMar>
          </w:tcPr>
          <w:p>
            <w:pPr>
              <w:spacing w:after="0"/>
            </w:pPr>
            <w:r>
              <w:rPr>
                <w:b/>
                <w:sz w:val="17"/>
              </w:rPr>
              <w:t>Net societal burden reduction across public healthcare, education, and labor sectors.</w:t>
            </w:r>
          </w:p>
        </w:tc>
      </w:tr>
      <w:tr>
        <w:tc>
          <w:tcPr>
            <w:tcW w:type="dxa" w:w="2340"/>
            <w:shd w:fill="EBF8FF"/>
            <w:tcMar>
              <w:top w:w="80" w:type="dxa"/>
              <w:bottom w:w="80" w:type="dxa"/>
              <w:left w:w="100" w:type="dxa"/>
              <w:right w:w="100" w:type="dxa"/>
            </w:tcMar>
          </w:tcPr>
          <w:p>
            <w:pPr>
              <w:spacing w:after="0"/>
            </w:pPr>
            <w:r>
              <w:rPr>
                <w:b/>
                <w:color w:val="1A365D"/>
                <w:sz w:val="17"/>
              </w:rPr>
              <w:t>NET MACROECONOMIC BALANCE</w:t>
            </w:r>
          </w:p>
        </w:tc>
        <w:tc>
          <w:tcPr>
            <w:tcW w:type="dxa" w:w="2340"/>
            <w:shd w:fill="EBF8FF"/>
            <w:tcMar>
              <w:top w:w="80" w:type="dxa"/>
              <w:bottom w:w="80" w:type="dxa"/>
              <w:left w:w="100" w:type="dxa"/>
              <w:right w:w="100" w:type="dxa"/>
            </w:tcMar>
          </w:tcPr>
          <w:p>
            <w:pPr>
              <w:spacing w:after="0"/>
            </w:pPr>
            <w:r>
              <w:rPr>
                <w:b/>
                <w:color w:val="1A365D"/>
                <w:sz w:val="17"/>
              </w:rPr>
              <w:t>NET ANNUAL SOCIETAL DIVIDEND (BENEFIT-TO-COST RATIO: ~55:1 to 70:1)</w:t>
            </w:r>
          </w:p>
        </w:tc>
        <w:tc>
          <w:tcPr>
            <w:tcW w:type="dxa" w:w="2340"/>
            <w:shd w:fill="EBF8FF"/>
            <w:tcMar>
              <w:top w:w="80" w:type="dxa"/>
              <w:bottom w:w="80" w:type="dxa"/>
              <w:left w:w="100" w:type="dxa"/>
              <w:right w:w="100" w:type="dxa"/>
            </w:tcMar>
          </w:tcPr>
          <w:p>
            <w:pPr>
              <w:spacing w:after="0"/>
            </w:pPr>
            <w:r>
              <w:rPr>
                <w:b/>
                <w:color w:val="1A365D"/>
                <w:sz w:val="17"/>
              </w:rPr>
              <w:t>+$40.4 Billion to +$63.2 Billion NET POSITIVE</w:t>
            </w:r>
          </w:p>
        </w:tc>
        <w:tc>
          <w:tcPr>
            <w:tcW w:type="dxa" w:w="2340"/>
            <w:shd w:fill="EBF8FF"/>
            <w:tcMar>
              <w:top w:w="80" w:type="dxa"/>
              <w:bottom w:w="80" w:type="dxa"/>
              <w:left w:w="100" w:type="dxa"/>
              <w:right w:w="100" w:type="dxa"/>
            </w:tcMar>
          </w:tcPr>
          <w:p>
            <w:pPr>
              <w:spacing w:after="0"/>
            </w:pPr>
            <w:r>
              <w:rPr>
                <w:b/>
                <w:color w:val="1A365D"/>
                <w:sz w:val="17"/>
              </w:rPr>
              <w:t>Statutory regulation corrects market failure by shifting externalized costs back to manufacturers.</w:t>
            </w:r>
          </w:p>
        </w:tc>
      </w:tr>
    </w:tbl>
    <w:p>
      <w:pPr>
        <w:spacing w:after="160"/>
      </w:pPr>
    </w:p>
    <w:p>
      <w:pPr>
        <w:keepNext/>
        <w:spacing w:before="320" w:after="120"/>
      </w:pPr>
      <w:r>
        <w:rPr>
          <w:rFonts w:ascii="Calibri" w:hAnsi="Calibri"/>
          <w:b/>
          <w:color w:val="1A365D"/>
          <w:sz w:val="28"/>
        </w:rPr>
        <w:t>8. Conclusion</w:t>
      </w:r>
    </w:p>
    <w:p>
      <w:r>
        <w:t>Leaving children to self-regulate against commercial supercomputers engineered for dopamine optimization is an unsustainable public policy failure. By enacting the Model Legislative Framework outlined in this whitepaper, legislative committees and government regulators can establish a legally sound, constitutionally resilient, and technically feasible regime that restores foundational developmental protections to modern childhood.</w:t>
      </w:r>
    </w:p>
    <w:sectPr w:rsidR="00FC693F" w:rsidRPr="0006063C" w:rsidSect="00034616">
      <w:headerReference w:type="defaul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718096"/>
        <w:sz w:val="17"/>
      </w:rPr>
      <w:t>LEGISLATIVE POLICY WHITEPAPER | CHILD ONLINE SAFETY &amp; REGULATORY REFORM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after="120"/>
    </w:pPr>
    <w:rPr>
      <w:rFonts w:ascii="Calibri" w:hAnsi="Calibri"/>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